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1" w:rsidRDefault="001C1591">
      <w:pPr>
        <w:pStyle w:val="KonuBal"/>
        <w:rPr>
          <w:rFonts w:ascii="Times New Roman" w:hAnsi="Times New Roman"/>
          <w:sz w:val="22"/>
          <w:szCs w:val="22"/>
        </w:rPr>
      </w:pPr>
    </w:p>
    <w:p w:rsidR="001C1591" w:rsidRDefault="000931E8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 FAKÜLTESİ</w:t>
      </w:r>
    </w:p>
    <w:p w:rsidR="001C1591" w:rsidRDefault="001C1591">
      <w:pPr>
        <w:pStyle w:val="KonuBal"/>
        <w:rPr>
          <w:rFonts w:ascii="Times New Roman" w:hAnsi="Times New Roman"/>
          <w:sz w:val="22"/>
          <w:szCs w:val="22"/>
        </w:rPr>
      </w:pPr>
    </w:p>
    <w:p w:rsidR="001C1591" w:rsidRDefault="000931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1C1591" w:rsidRDefault="001C1591">
      <w:pPr>
        <w:jc w:val="center"/>
        <w:rPr>
          <w:b/>
          <w:sz w:val="22"/>
          <w:szCs w:val="22"/>
        </w:rPr>
      </w:pPr>
    </w:p>
    <w:p w:rsidR="001C1591" w:rsidRDefault="001C1591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1C1591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Adı: GENEL CERRAHİ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TIP641</w:t>
            </w:r>
          </w:p>
        </w:tc>
      </w:tr>
      <w:tr w:rsidR="001C1591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29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AKTS:5 KREDİ</w:t>
            </w:r>
            <w:r w:rsidRPr="002B3722">
              <w:rPr>
                <w:rFonts w:eastAsia="Times New Roman"/>
                <w:b/>
                <w:sz w:val="22"/>
                <w:szCs w:val="22"/>
              </w:rPr>
              <w:t>:11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6.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1C1591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ay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saat: 176 saat</w:t>
            </w:r>
          </w:p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1C1591">
        <w:trPr>
          <w:trHeight w:val="1773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1C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 Veren Öğretim Elemanının Adı Soyadı</w:t>
            </w:r>
          </w:p>
          <w:p w:rsidR="001C1591" w:rsidRDefault="001C1591" w:rsidP="002B3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1C1591" w:rsidRPr="002B3722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B3722">
              <w:rPr>
                <w:rFonts w:eastAsia="Times New Roman"/>
                <w:b/>
                <w:sz w:val="22"/>
                <w:szCs w:val="22"/>
              </w:rPr>
              <w:t>P</w:t>
            </w:r>
            <w:r w:rsidRPr="002B3722">
              <w:rPr>
                <w:b/>
                <w:sz w:val="22"/>
                <w:szCs w:val="22"/>
              </w:rPr>
              <w:t>rof</w:t>
            </w:r>
            <w:r w:rsidRPr="002B3722">
              <w:rPr>
                <w:rFonts w:eastAsia="Times New Roman"/>
                <w:b/>
                <w:sz w:val="22"/>
                <w:szCs w:val="22"/>
              </w:rPr>
              <w:t>. D</w:t>
            </w:r>
            <w:r w:rsidRPr="002B3722">
              <w:rPr>
                <w:b/>
                <w:sz w:val="22"/>
                <w:szCs w:val="22"/>
              </w:rPr>
              <w:t>r</w:t>
            </w:r>
            <w:r w:rsidRPr="002B3722">
              <w:rPr>
                <w:rFonts w:eastAsia="Times New Roman"/>
                <w:b/>
                <w:sz w:val="22"/>
                <w:szCs w:val="22"/>
              </w:rPr>
              <w:t xml:space="preserve">. </w:t>
            </w:r>
            <w:r w:rsidR="0014600B" w:rsidRPr="002B3722">
              <w:rPr>
                <w:rFonts w:eastAsia="Times New Roman"/>
                <w:b/>
                <w:sz w:val="22"/>
                <w:szCs w:val="22"/>
              </w:rPr>
              <w:t>Muharrem BATTAL</w:t>
            </w:r>
          </w:p>
          <w:p w:rsidR="001C1591" w:rsidRDefault="001C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1C1591" w:rsidRDefault="001C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1C1591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1C1591" w:rsidRDefault="001C1591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  <w:p w:rsidR="001C1591" w:rsidRDefault="00754571">
            <w:pPr>
              <w:jc w:val="center"/>
              <w:rPr>
                <w:b/>
                <w:sz w:val="22"/>
                <w:szCs w:val="22"/>
              </w:rPr>
            </w:pPr>
            <w:hyperlink r:id="rId9" w:history="1">
              <w:r w:rsidR="000E1D97" w:rsidRPr="006D29F9">
                <w:rPr>
                  <w:rStyle w:val="Kpr"/>
                  <w:b/>
                  <w:sz w:val="22"/>
                  <w:szCs w:val="22"/>
                </w:rPr>
                <w:t>muharrem.battal@yeniyuzyil.edu.tr</w:t>
              </w:r>
            </w:hyperlink>
          </w:p>
          <w:p w:rsidR="001C1591" w:rsidRDefault="001C1591">
            <w:pPr>
              <w:jc w:val="center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1591" w:rsidRDefault="000931E8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Görüşme Saatleri:  </w:t>
            </w:r>
            <w:proofErr w:type="spellStart"/>
            <w:r>
              <w:rPr>
                <w:b/>
                <w:sz w:val="22"/>
                <w:szCs w:val="22"/>
              </w:rPr>
              <w:t>Hergün</w:t>
            </w:r>
            <w:proofErr w:type="spellEnd"/>
            <w:r>
              <w:rPr>
                <w:b/>
                <w:sz w:val="22"/>
                <w:szCs w:val="22"/>
              </w:rPr>
              <w:t xml:space="preserve"> 15.00-17.00</w:t>
            </w:r>
          </w:p>
          <w:p w:rsidR="001C1591" w:rsidRDefault="001C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1C1591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591" w:rsidRDefault="001C1591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1C1591" w:rsidRDefault="000931E8">
      <w:pPr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Genel Amacı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shd w:val="clear" w:color="auto" w:fill="F5F5F5"/>
        </w:rPr>
        <w:t>İ</w:t>
      </w:r>
      <w:r>
        <w:rPr>
          <w:sz w:val="22"/>
          <w:szCs w:val="22"/>
          <w:highlight w:val="white"/>
        </w:rPr>
        <w:t>ntörn</w:t>
      </w:r>
      <w:proofErr w:type="spellEnd"/>
      <w:r>
        <w:rPr>
          <w:sz w:val="22"/>
          <w:szCs w:val="22"/>
          <w:highlight w:val="white"/>
        </w:rPr>
        <w:t xml:space="preserve"> olarak çalışan öğrencilerimizin ilk beş yılda aldıkları teorik ve uygulamalı eğitimlerinin cerrahi bilgi ve becerileri ile pekiştirilmesinin sağlanması ve genel cerrahi hastalarının </w:t>
      </w:r>
      <w:proofErr w:type="spellStart"/>
      <w:r>
        <w:rPr>
          <w:sz w:val="22"/>
          <w:szCs w:val="22"/>
          <w:highlight w:val="white"/>
        </w:rPr>
        <w:t>elektif</w:t>
      </w:r>
      <w:proofErr w:type="spellEnd"/>
      <w:r>
        <w:rPr>
          <w:sz w:val="22"/>
          <w:szCs w:val="22"/>
          <w:highlight w:val="white"/>
        </w:rPr>
        <w:t xml:space="preserve"> ve acil şartlarda ve yoğun bakımda yönetiminin öğretilmesi. </w:t>
      </w:r>
    </w:p>
    <w:p w:rsidR="001C1591" w:rsidRDefault="000931E8">
      <w:pPr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1C1591" w:rsidRDefault="000931E8">
      <w:pPr>
        <w:numPr>
          <w:ilvl w:val="0"/>
          <w:numId w:val="1"/>
        </w:numPr>
        <w:shd w:val="clear" w:color="auto" w:fill="FFFFFF"/>
        <w:spacing w:before="280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 xml:space="preserve">, cerrahi hasta yara bakımı konusunda bilgi ve beceri kazanır. 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>, cerrahi hastanın sıvı-elektrolit ve asit-</w:t>
      </w:r>
      <w:proofErr w:type="gramStart"/>
      <w:r>
        <w:rPr>
          <w:sz w:val="22"/>
          <w:szCs w:val="22"/>
        </w:rPr>
        <w:t>baz</w:t>
      </w:r>
      <w:proofErr w:type="gramEnd"/>
      <w:r>
        <w:rPr>
          <w:sz w:val="22"/>
          <w:szCs w:val="22"/>
        </w:rPr>
        <w:t xml:space="preserve"> dengesini takip edebilir, sorunlarını çözebilir.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hemodinamik</w:t>
      </w:r>
      <w:proofErr w:type="spellEnd"/>
      <w:r>
        <w:rPr>
          <w:sz w:val="22"/>
          <w:szCs w:val="22"/>
        </w:rPr>
        <w:t xml:space="preserve"> izlemeyi etkin şekilde yapabilir.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 xml:space="preserve">, apse drenajı, damar yolu uygulamaları, </w:t>
      </w:r>
      <w:proofErr w:type="spellStart"/>
      <w:r>
        <w:rPr>
          <w:sz w:val="22"/>
          <w:szCs w:val="22"/>
        </w:rPr>
        <w:t>nazogastrik</w:t>
      </w:r>
      <w:proofErr w:type="spellEnd"/>
      <w:r>
        <w:rPr>
          <w:sz w:val="22"/>
          <w:szCs w:val="22"/>
        </w:rPr>
        <w:t xml:space="preserve"> uygulama, </w:t>
      </w:r>
      <w:proofErr w:type="spellStart"/>
      <w:r>
        <w:rPr>
          <w:sz w:val="22"/>
          <w:szCs w:val="22"/>
        </w:rPr>
        <w:t>üriner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kataterizasyon</w:t>
      </w:r>
      <w:proofErr w:type="spellEnd"/>
      <w:r>
        <w:rPr>
          <w:sz w:val="22"/>
          <w:szCs w:val="22"/>
        </w:rPr>
        <w:t xml:space="preserve"> gibi cerrahi becerileri kazanır ve uygulayabilir.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>, karın ağrısı ile başvuran hasta değerlendirmesini yapabilecek bilgi ve beceri kazanır.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sütür</w:t>
      </w:r>
      <w:proofErr w:type="spellEnd"/>
      <w:r>
        <w:rPr>
          <w:sz w:val="22"/>
          <w:szCs w:val="22"/>
        </w:rPr>
        <w:t xml:space="preserve"> uygulamalarında bilgi ve beceri kazanır. 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>, cerrahi hastanın beslenme desteğini planlayıp uygulayabilir.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intraabdominal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enfeksiyon</w:t>
      </w:r>
      <w:proofErr w:type="gramEnd"/>
      <w:r>
        <w:rPr>
          <w:sz w:val="22"/>
          <w:szCs w:val="22"/>
        </w:rPr>
        <w:t xml:space="preserve"> tedavisinin temel prensiplerini öğrenir.</w:t>
      </w:r>
    </w:p>
    <w:p w:rsidR="001C1591" w:rsidRDefault="000931E8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travma</w:t>
      </w:r>
      <w:proofErr w:type="gramEnd"/>
      <w:r>
        <w:rPr>
          <w:sz w:val="22"/>
          <w:szCs w:val="22"/>
        </w:rPr>
        <w:t xml:space="preserve"> tedavisinin temel prensiplerini öğrenir.</w:t>
      </w:r>
    </w:p>
    <w:p w:rsidR="001C1591" w:rsidRDefault="000931E8">
      <w:pPr>
        <w:numPr>
          <w:ilvl w:val="0"/>
          <w:numId w:val="1"/>
        </w:numPr>
        <w:shd w:val="clear" w:color="auto" w:fill="FFFFFF"/>
        <w:spacing w:after="280"/>
        <w:rPr>
          <w:sz w:val="22"/>
          <w:szCs w:val="22"/>
        </w:rPr>
      </w:pPr>
      <w:proofErr w:type="spellStart"/>
      <w:r>
        <w:rPr>
          <w:sz w:val="22"/>
          <w:szCs w:val="22"/>
        </w:rPr>
        <w:t>İntörn</w:t>
      </w:r>
      <w:proofErr w:type="spellEnd"/>
      <w:r>
        <w:rPr>
          <w:sz w:val="22"/>
          <w:szCs w:val="22"/>
        </w:rPr>
        <w:t>, yanık tedavisinin temel prensiplerini öğrenir.</w:t>
      </w:r>
    </w:p>
    <w:p w:rsidR="001C1591" w:rsidRDefault="001C1591">
      <w:pPr>
        <w:jc w:val="both"/>
        <w:rPr>
          <w:b/>
          <w:sz w:val="22"/>
          <w:szCs w:val="22"/>
        </w:rPr>
      </w:pPr>
    </w:p>
    <w:p w:rsidR="002B3722" w:rsidRDefault="002B3722">
      <w:pPr>
        <w:jc w:val="both"/>
        <w:rPr>
          <w:b/>
          <w:sz w:val="22"/>
          <w:szCs w:val="22"/>
        </w:rPr>
      </w:pPr>
    </w:p>
    <w:p w:rsidR="001C1591" w:rsidRDefault="000931E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Öğretim Yöntem ve Teknikleri: </w:t>
      </w:r>
    </w:p>
    <w:p w:rsidR="001C1591" w:rsidRDefault="000931E8"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>Anlatım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Tartışma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Soru-Yanıt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Gözlem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Takım/Grup Çalışması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Gösteri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Uygulama-Alıştırma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Örnek Olay İncelemesi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Sorun/Problem Çözme</w:t>
      </w:r>
    </w:p>
    <w:p w:rsidR="001C1591" w:rsidRDefault="001C1591">
      <w:pPr>
        <w:rPr>
          <w:sz w:val="22"/>
          <w:szCs w:val="22"/>
        </w:rPr>
      </w:pPr>
    </w:p>
    <w:p w:rsidR="001C1591" w:rsidRDefault="000931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Önkoşul: </w:t>
      </w:r>
      <w:r>
        <w:rPr>
          <w:sz w:val="22"/>
          <w:szCs w:val="22"/>
        </w:rPr>
        <w:t>Tıp eğitiminin ilk 5 dönemini başarı ile tamamlamış olmak</w:t>
      </w:r>
    </w:p>
    <w:p w:rsidR="001C1591" w:rsidRDefault="001C1591">
      <w:pPr>
        <w:jc w:val="both"/>
        <w:rPr>
          <w:b/>
          <w:sz w:val="22"/>
          <w:szCs w:val="22"/>
        </w:rPr>
      </w:pPr>
    </w:p>
    <w:p w:rsidR="001C1591" w:rsidRDefault="000931E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1C1591" w:rsidRDefault="001C1591">
      <w:pPr>
        <w:rPr>
          <w:b/>
          <w:sz w:val="22"/>
          <w:szCs w:val="22"/>
        </w:rPr>
      </w:pPr>
    </w:p>
    <w:p w:rsidR="001C1591" w:rsidRDefault="00093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Schwartz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Principles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General </w:t>
      </w:r>
      <w:proofErr w:type="spellStart"/>
      <w:r>
        <w:rPr>
          <w:rFonts w:eastAsia="Times New Roman"/>
          <w:color w:val="000000"/>
          <w:sz w:val="22"/>
          <w:szCs w:val="22"/>
        </w:rPr>
        <w:t>Surgery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Volume 1-2 (10. ve 11. Baskı)</w:t>
      </w:r>
    </w:p>
    <w:p w:rsidR="001C1591" w:rsidRDefault="00093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Sabiston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Textbook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Surgery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Biological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Basis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Modern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Practice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(20. Baskı)</w:t>
      </w:r>
    </w:p>
    <w:p w:rsidR="001C1591" w:rsidRDefault="00093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Current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Therapy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(13. Baskı) (</w:t>
      </w:r>
      <w:proofErr w:type="spellStart"/>
      <w:r>
        <w:rPr>
          <w:rFonts w:eastAsia="Times New Roman"/>
          <w:color w:val="000000"/>
          <w:sz w:val="22"/>
          <w:szCs w:val="22"/>
        </w:rPr>
        <w:t>Cameron</w:t>
      </w:r>
      <w:proofErr w:type="spellEnd"/>
      <w:r>
        <w:rPr>
          <w:rFonts w:eastAsia="Times New Roman"/>
          <w:color w:val="000000"/>
          <w:sz w:val="22"/>
          <w:szCs w:val="22"/>
        </w:rPr>
        <w:t>)</w:t>
      </w:r>
    </w:p>
    <w:p w:rsidR="001C1591" w:rsidRDefault="00093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Current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Dıagnosıs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Treatment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Surgery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(13. Baskı) (</w:t>
      </w:r>
      <w:proofErr w:type="spellStart"/>
      <w:r>
        <w:rPr>
          <w:rFonts w:eastAsia="Times New Roman"/>
          <w:color w:val="000000"/>
          <w:sz w:val="22"/>
          <w:szCs w:val="22"/>
        </w:rPr>
        <w:t>Lange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Current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Series)</w:t>
      </w:r>
    </w:p>
    <w:p w:rsidR="001C1591" w:rsidRDefault="001C1591">
      <w:pPr>
        <w:jc w:val="both"/>
        <w:rPr>
          <w:b/>
          <w:sz w:val="22"/>
          <w:szCs w:val="22"/>
        </w:rPr>
      </w:pPr>
    </w:p>
    <w:p w:rsidR="001C1591" w:rsidRDefault="000931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Dersin İçeriği: </w:t>
      </w:r>
      <w:r>
        <w:rPr>
          <w:sz w:val="22"/>
          <w:szCs w:val="22"/>
          <w:highlight w:val="white"/>
        </w:rPr>
        <w:t xml:space="preserve">Öğretim üyeleri ve asistanlar gözetiminde uygulamalı olarak servis çalışmalarına katılan </w:t>
      </w:r>
      <w:proofErr w:type="spellStart"/>
      <w:r>
        <w:rPr>
          <w:sz w:val="22"/>
          <w:szCs w:val="22"/>
        </w:rPr>
        <w:t>intörn</w:t>
      </w:r>
      <w:proofErr w:type="spellEnd"/>
      <w:r>
        <w:rPr>
          <w:sz w:val="22"/>
          <w:szCs w:val="22"/>
          <w:highlight w:val="white"/>
        </w:rPr>
        <w:t>, cerrahi hastalarının tedavilerinin planlanması ve yürütülmesinde aktif görev ve sorumluluk alarak, teorik ve uygulamalı eğitimlerinde almış olduğu bilgi ve becerilerini pekiştirir.</w:t>
      </w:r>
    </w:p>
    <w:p w:rsidR="001C1591" w:rsidRDefault="001C1591">
      <w:pPr>
        <w:jc w:val="both"/>
        <w:rPr>
          <w:sz w:val="22"/>
          <w:szCs w:val="22"/>
        </w:rPr>
      </w:pPr>
    </w:p>
    <w:p w:rsidR="001C1591" w:rsidRDefault="000931E8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p w:rsidR="001C1591" w:rsidRDefault="001C1591">
      <w:pPr>
        <w:jc w:val="both"/>
        <w:rPr>
          <w:b/>
          <w:sz w:val="22"/>
          <w:szCs w:val="22"/>
        </w:rPr>
      </w:pPr>
    </w:p>
    <w:tbl>
      <w:tblPr>
        <w:tblStyle w:val="a0"/>
        <w:tblpPr w:leftFromText="141" w:rightFromText="141" w:vertAnchor="text"/>
        <w:tblW w:w="84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1C1591">
        <w:tc>
          <w:tcPr>
            <w:tcW w:w="817" w:type="dxa"/>
            <w:shd w:val="clear" w:color="auto" w:fill="auto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Konular </w:t>
            </w:r>
          </w:p>
        </w:tc>
      </w:tr>
      <w:tr w:rsidR="001C1591">
        <w:tc>
          <w:tcPr>
            <w:tcW w:w="817" w:type="dxa"/>
            <w:shd w:val="clear" w:color="auto" w:fill="auto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Genel cerrahi stajı </w:t>
            </w:r>
            <w:proofErr w:type="gramStart"/>
            <w:r>
              <w:rPr>
                <w:sz w:val="22"/>
                <w:szCs w:val="22"/>
              </w:rPr>
              <w:t>oryantasyonu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Öykü alma, hastayı muayene etme, </w:t>
            </w:r>
            <w:proofErr w:type="gramStart"/>
            <w:r>
              <w:rPr>
                <w:sz w:val="22"/>
                <w:szCs w:val="22"/>
              </w:rPr>
              <w:t>epikriz</w:t>
            </w:r>
            <w:proofErr w:type="gramEnd"/>
            <w:r>
              <w:rPr>
                <w:sz w:val="22"/>
                <w:szCs w:val="22"/>
              </w:rPr>
              <w:t xml:space="preserve"> dosyası hazırlama, servisteki hasta </w:t>
            </w:r>
            <w:proofErr w:type="spellStart"/>
            <w:r>
              <w:rPr>
                <w:sz w:val="22"/>
                <w:szCs w:val="22"/>
              </w:rPr>
              <w:t>vizitlerine</w:t>
            </w:r>
            <w:proofErr w:type="spellEnd"/>
            <w:r>
              <w:rPr>
                <w:sz w:val="22"/>
                <w:szCs w:val="22"/>
              </w:rPr>
              <w:t xml:space="preserve"> katılma. </w:t>
            </w:r>
          </w:p>
          <w:p w:rsidR="001C1591" w:rsidRDefault="001C1591">
            <w:pPr>
              <w:rPr>
                <w:sz w:val="22"/>
                <w:szCs w:val="22"/>
              </w:rPr>
            </w:pPr>
          </w:p>
        </w:tc>
      </w:tr>
      <w:tr w:rsidR="001C1591">
        <w:tc>
          <w:tcPr>
            <w:tcW w:w="817" w:type="dxa"/>
            <w:shd w:val="clear" w:color="auto" w:fill="auto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Öykü alma, hastayı muayene etme, </w:t>
            </w:r>
            <w:proofErr w:type="gramStart"/>
            <w:r>
              <w:rPr>
                <w:sz w:val="22"/>
                <w:szCs w:val="22"/>
              </w:rPr>
              <w:t>epikriz</w:t>
            </w:r>
            <w:proofErr w:type="gramEnd"/>
            <w:r>
              <w:rPr>
                <w:sz w:val="22"/>
                <w:szCs w:val="22"/>
              </w:rPr>
              <w:t xml:space="preserve"> dosyası hazırlama, servisteki hasta </w:t>
            </w:r>
            <w:proofErr w:type="spellStart"/>
            <w:r>
              <w:rPr>
                <w:sz w:val="22"/>
                <w:szCs w:val="22"/>
              </w:rPr>
              <w:t>vizitlerine</w:t>
            </w:r>
            <w:proofErr w:type="spellEnd"/>
            <w:r>
              <w:rPr>
                <w:sz w:val="22"/>
                <w:szCs w:val="22"/>
              </w:rPr>
              <w:t xml:space="preserve"> katılmaya ek olarak;</w:t>
            </w:r>
          </w:p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Anestezi gerektirmeyen küçük cerrahi girişimler (dikiş alma, pansuman yapma, dren çekme, </w:t>
            </w:r>
            <w:proofErr w:type="spellStart"/>
            <w:r>
              <w:rPr>
                <w:sz w:val="22"/>
                <w:szCs w:val="22"/>
              </w:rPr>
              <w:t>nazogastrik</w:t>
            </w:r>
            <w:proofErr w:type="spellEnd"/>
            <w:r>
              <w:rPr>
                <w:sz w:val="22"/>
                <w:szCs w:val="22"/>
              </w:rPr>
              <w:t xml:space="preserve"> sonda takma ve çekme, idrar sondası takma ve çekme)</w:t>
            </w:r>
          </w:p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Tedavi düzenleme</w:t>
            </w:r>
          </w:p>
          <w:p w:rsidR="001C1591" w:rsidRDefault="001C1591">
            <w:pPr>
              <w:rPr>
                <w:sz w:val="22"/>
                <w:szCs w:val="22"/>
              </w:rPr>
            </w:pPr>
          </w:p>
        </w:tc>
      </w:tr>
      <w:tr w:rsidR="001C1591">
        <w:tc>
          <w:tcPr>
            <w:tcW w:w="817" w:type="dxa"/>
            <w:shd w:val="clear" w:color="auto" w:fill="auto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İlk iki haftadaki uygulamalara ek olarak; </w:t>
            </w:r>
          </w:p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Ameliyatlara gözlemci ve </w:t>
            </w:r>
            <w:proofErr w:type="gramStart"/>
            <w:r>
              <w:rPr>
                <w:sz w:val="22"/>
                <w:szCs w:val="22"/>
              </w:rPr>
              <w:t>steril</w:t>
            </w:r>
            <w:proofErr w:type="gramEnd"/>
            <w:r>
              <w:rPr>
                <w:sz w:val="22"/>
                <w:szCs w:val="22"/>
              </w:rPr>
              <w:t xml:space="preserve"> olarak girme, dikiş atma</w:t>
            </w:r>
          </w:p>
          <w:p w:rsidR="001C1591" w:rsidRDefault="001C1591">
            <w:pPr>
              <w:rPr>
                <w:sz w:val="22"/>
                <w:szCs w:val="22"/>
              </w:rPr>
            </w:pPr>
          </w:p>
        </w:tc>
      </w:tr>
      <w:tr w:rsidR="001C1591">
        <w:tc>
          <w:tcPr>
            <w:tcW w:w="817" w:type="dxa"/>
            <w:shd w:val="clear" w:color="auto" w:fill="auto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23" w:type="dxa"/>
            <w:shd w:val="clear" w:color="auto" w:fill="auto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İlk üç haftadaki uygulamalar öğretim üyesi ve öğretim görevlileri gözetiminde devam eder. </w:t>
            </w:r>
          </w:p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Ayrıca; her </w:t>
            </w:r>
            <w:proofErr w:type="spellStart"/>
            <w:r>
              <w:rPr>
                <w:sz w:val="22"/>
                <w:szCs w:val="22"/>
              </w:rPr>
              <w:t>intörn</w:t>
            </w:r>
            <w:proofErr w:type="spellEnd"/>
            <w:r>
              <w:rPr>
                <w:sz w:val="22"/>
                <w:szCs w:val="22"/>
              </w:rPr>
              <w:t xml:space="preserve"> birer kez olmak üzere her haftanın önceden belirlenmiş bir gününde kendisine öğretim üyesi ve görevlileri tarafından verilen makaleyi sunmak ve tartışmak ile yükümlüdür.</w:t>
            </w:r>
          </w:p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Buna ek olarak; önceden kendisine staj başlangıcında verilen bir konu hakkında 20 dakikalık konu anlatımı /seminer sunumu yapması gerekmektedir.</w:t>
            </w:r>
          </w:p>
          <w:p w:rsidR="001C1591" w:rsidRDefault="001C1591">
            <w:pPr>
              <w:rPr>
                <w:sz w:val="22"/>
                <w:szCs w:val="22"/>
              </w:rPr>
            </w:pPr>
          </w:p>
        </w:tc>
      </w:tr>
    </w:tbl>
    <w:p w:rsidR="001C1591" w:rsidRDefault="001C1591">
      <w:pPr>
        <w:rPr>
          <w:b/>
          <w:sz w:val="22"/>
          <w:szCs w:val="22"/>
        </w:rPr>
      </w:pPr>
    </w:p>
    <w:p w:rsidR="001C1591" w:rsidRDefault="001C1591">
      <w:pPr>
        <w:rPr>
          <w:b/>
          <w:sz w:val="22"/>
          <w:szCs w:val="22"/>
        </w:rPr>
      </w:pPr>
    </w:p>
    <w:p w:rsidR="001C1591" w:rsidRDefault="001C1591">
      <w:pPr>
        <w:rPr>
          <w:b/>
          <w:sz w:val="22"/>
          <w:szCs w:val="22"/>
        </w:rPr>
      </w:pPr>
    </w:p>
    <w:p w:rsidR="001C1591" w:rsidRDefault="001C1591">
      <w:pPr>
        <w:rPr>
          <w:sz w:val="22"/>
          <w:szCs w:val="22"/>
        </w:rPr>
      </w:pPr>
    </w:p>
    <w:p w:rsidR="001C1591" w:rsidRDefault="001C1591">
      <w:pPr>
        <w:rPr>
          <w:b/>
          <w:sz w:val="22"/>
          <w:szCs w:val="22"/>
        </w:rPr>
      </w:pPr>
    </w:p>
    <w:p w:rsidR="001C1591" w:rsidRDefault="001C1591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</w:p>
    <w:p w:rsidR="002B3722" w:rsidRDefault="002B3722">
      <w:pPr>
        <w:rPr>
          <w:b/>
          <w:sz w:val="22"/>
          <w:szCs w:val="22"/>
        </w:rPr>
      </w:pPr>
      <w:bookmarkStart w:id="0" w:name="_GoBack"/>
      <w:bookmarkEnd w:id="0"/>
    </w:p>
    <w:p w:rsidR="001C1591" w:rsidRDefault="001C1591">
      <w:pPr>
        <w:rPr>
          <w:b/>
          <w:sz w:val="22"/>
          <w:szCs w:val="22"/>
        </w:rPr>
      </w:pPr>
    </w:p>
    <w:p w:rsidR="001C1591" w:rsidRDefault="001C1591">
      <w:pPr>
        <w:rPr>
          <w:b/>
          <w:sz w:val="22"/>
          <w:szCs w:val="22"/>
        </w:rPr>
      </w:pPr>
    </w:p>
    <w:p w:rsidR="001C1591" w:rsidRDefault="001C1591">
      <w:pPr>
        <w:rPr>
          <w:b/>
          <w:sz w:val="22"/>
          <w:szCs w:val="22"/>
        </w:rPr>
      </w:pPr>
    </w:p>
    <w:p w:rsidR="001C1591" w:rsidRDefault="000931E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DERSİN ÖĞRENİM ÇIKTILARININ PROGRAM YETERLİLİKLERİ İLE İLİŞKİSİ </w:t>
      </w:r>
    </w:p>
    <w:p w:rsidR="001C1591" w:rsidRDefault="001C1591">
      <w:pPr>
        <w:rPr>
          <w:b/>
          <w:sz w:val="22"/>
          <w:szCs w:val="22"/>
        </w:rPr>
      </w:pP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8281"/>
        <w:gridCol w:w="375"/>
        <w:gridCol w:w="375"/>
        <w:gridCol w:w="326"/>
        <w:gridCol w:w="326"/>
        <w:gridCol w:w="375"/>
      </w:tblGrid>
      <w:tr w:rsidR="001C1591">
        <w:trPr>
          <w:trHeight w:val="520"/>
        </w:trPr>
        <w:tc>
          <w:tcPr>
            <w:tcW w:w="455" w:type="dxa"/>
            <w:vMerge w:val="restart"/>
            <w:tcBorders>
              <w:top w:val="single" w:sz="12" w:space="0" w:color="000000"/>
            </w:tcBorders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1" w:type="dxa"/>
            <w:vMerge w:val="restart"/>
            <w:tcBorders>
              <w:top w:val="single" w:sz="12" w:space="0" w:color="000000"/>
            </w:tcBorders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777" w:type="dxa"/>
            <w:gridSpan w:val="5"/>
            <w:tcBorders>
              <w:top w:val="single" w:sz="12" w:space="0" w:color="000000"/>
            </w:tcBorders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1C1591">
        <w:trPr>
          <w:trHeight w:val="520"/>
        </w:trPr>
        <w:tc>
          <w:tcPr>
            <w:tcW w:w="455" w:type="dxa"/>
            <w:vMerge/>
            <w:tcBorders>
              <w:top w:val="single" w:sz="12" w:space="0" w:color="000000"/>
            </w:tcBorders>
          </w:tcPr>
          <w:p w:rsidR="001C1591" w:rsidRDefault="001C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81" w:type="dxa"/>
            <w:vMerge/>
            <w:tcBorders>
              <w:top w:val="single" w:sz="12" w:space="0" w:color="000000"/>
            </w:tcBorders>
          </w:tcPr>
          <w:p w:rsidR="001C1591" w:rsidRDefault="001C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1C1591">
        <w:trPr>
          <w:trHeight w:val="233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250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250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534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233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608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81" w:type="dxa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590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233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438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250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81" w:type="dxa"/>
          </w:tcPr>
          <w:p w:rsidR="001C1591" w:rsidRDefault="0009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1591">
        <w:trPr>
          <w:trHeight w:val="250"/>
        </w:trPr>
        <w:tc>
          <w:tcPr>
            <w:tcW w:w="455" w:type="dxa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81" w:type="dxa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sz w:val="22"/>
                <w:szCs w:val="22"/>
              </w:rPr>
              <w:t>literatürü</w:t>
            </w:r>
            <w:proofErr w:type="gramEnd"/>
            <w:r>
              <w:rPr>
                <w:sz w:val="22"/>
                <w:szCs w:val="22"/>
              </w:rPr>
              <w:t xml:space="preserve">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C1591" w:rsidRDefault="001C15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</w:tcPr>
          <w:p w:rsidR="001C1591" w:rsidRDefault="001C15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1C1591" w:rsidRDefault="000931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1C1591" w:rsidRDefault="001C1591">
      <w:pPr>
        <w:rPr>
          <w:b/>
          <w:sz w:val="22"/>
          <w:szCs w:val="22"/>
        </w:rPr>
      </w:pPr>
    </w:p>
    <w:p w:rsidR="001C1591" w:rsidRDefault="000931E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1C1591" w:rsidRDefault="001C1591">
      <w:pPr>
        <w:rPr>
          <w:b/>
          <w:sz w:val="22"/>
          <w:szCs w:val="22"/>
        </w:rPr>
      </w:pPr>
    </w:p>
    <w:p w:rsidR="001C1591" w:rsidRDefault="000931E8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(Sınav haftası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: 5x toplam ders saati)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1C1591" w:rsidRDefault="001C159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  <w:vAlign w:val="center"/>
          </w:tcPr>
          <w:p w:rsidR="001C1591" w:rsidRDefault="000931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1591">
        <w:tc>
          <w:tcPr>
            <w:tcW w:w="5353" w:type="dxa"/>
          </w:tcPr>
          <w:p w:rsidR="001C1591" w:rsidRDefault="000931E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1C1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1591" w:rsidRDefault="00093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</w:tbl>
    <w:p w:rsidR="001C1591" w:rsidRDefault="001C1591">
      <w:pPr>
        <w:rPr>
          <w:sz w:val="22"/>
          <w:szCs w:val="22"/>
        </w:rPr>
      </w:pPr>
    </w:p>
    <w:sectPr w:rsidR="001C15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71" w:rsidRDefault="00754571">
      <w:r>
        <w:separator/>
      </w:r>
    </w:p>
  </w:endnote>
  <w:endnote w:type="continuationSeparator" w:id="0">
    <w:p w:rsidR="00754571" w:rsidRDefault="0075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91" w:rsidRDefault="001C1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91" w:rsidRDefault="000931E8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2B3722">
      <w:rPr>
        <w:noProof/>
        <w:color w:val="17365D"/>
      </w:rPr>
      <w:t>3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2B3722">
      <w:rPr>
        <w:noProof/>
        <w:color w:val="17365D"/>
      </w:rPr>
      <w:t>3</w:t>
    </w:r>
    <w:r>
      <w:rPr>
        <w:color w:val="17365D"/>
      </w:rPr>
      <w:fldChar w:fldCharType="end"/>
    </w:r>
  </w:p>
  <w:p w:rsidR="001C1591" w:rsidRDefault="001C1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91" w:rsidRDefault="001C1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71" w:rsidRDefault="00754571">
      <w:r>
        <w:separator/>
      </w:r>
    </w:p>
  </w:footnote>
  <w:footnote w:type="continuationSeparator" w:id="0">
    <w:p w:rsidR="00754571" w:rsidRDefault="00754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91" w:rsidRDefault="001C1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91" w:rsidRDefault="000931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  <w:bookmarkStart w:id="1" w:name="_heading=h.gjdgxs" w:colFirst="0" w:colLast="0"/>
    <w:bookmarkEnd w:id="1"/>
    <w:r>
      <w:rPr>
        <w:rFonts w:eastAsia="Times New Roman"/>
        <w:noProof/>
        <w:color w:val="000000"/>
        <w:lang w:eastAsia="tr-TR"/>
      </w:rPr>
      <w:drawing>
        <wp:inline distT="0" distB="0" distL="0" distR="0">
          <wp:extent cx="2229677" cy="99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1591" w:rsidRDefault="001C1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91" w:rsidRDefault="001C1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7435"/>
    <w:multiLevelType w:val="multilevel"/>
    <w:tmpl w:val="D8A02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7D361A3"/>
    <w:multiLevelType w:val="multilevel"/>
    <w:tmpl w:val="CD48E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1591"/>
    <w:rsid w:val="000931E8"/>
    <w:rsid w:val="000E1D97"/>
    <w:rsid w:val="0014600B"/>
    <w:rsid w:val="001C1591"/>
    <w:rsid w:val="002959A6"/>
    <w:rsid w:val="002B3722"/>
    <w:rsid w:val="00754571"/>
    <w:rsid w:val="0094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736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3618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736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3618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uharrem.battal@yeniyuzyil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RBvL6nDRla74y/DOcGGUn1A4g==">CgMxLjAyCGguZ2pkZ3hzOAByITF0TDRJSnljTnpBTjN5QVhqVDE5UTRISGhFb0V6TUZ6Qg==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Asiye NURTEN</cp:lastModifiedBy>
  <cp:revision>5</cp:revision>
  <dcterms:created xsi:type="dcterms:W3CDTF">2023-01-18T13:27:00Z</dcterms:created>
  <dcterms:modified xsi:type="dcterms:W3CDTF">2024-11-12T10:42:00Z</dcterms:modified>
</cp:coreProperties>
</file>